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5" w:rsidRPr="00B84796" w:rsidRDefault="00982514" w:rsidP="00B84796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B84796">
        <w:rPr>
          <w:rFonts w:ascii="Times New Roman" w:hAnsi="Times New Roman" w:cs="Times New Roman"/>
          <w:b/>
          <w:color w:val="000000"/>
          <w:sz w:val="24"/>
          <w:szCs w:val="20"/>
        </w:rPr>
        <w:t>INTRODUCTION</w:t>
      </w:r>
    </w:p>
    <w:p w:rsidR="00B84796" w:rsidRPr="00B84796" w:rsidRDefault="00B84796" w:rsidP="00B84796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aim of the first issue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ZEROWORK,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which appeared last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year, was to begin to provide an analysis of the present crisis from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point of view of the working class. The crisis, we maintained, was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generated through a cycle of working class struggle in which capital's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postwar Keynesian strategy of planned development was under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mined—struggle which occur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ed throughout the world but which we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traced in North America and Western Europe. Beginning with 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expanded notion of the working class—one that included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unwaged as well as the waged—we set out to examine the new forms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its activity in the wage struggle, resistance to productivity drives,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battle for autonomy from its official organizations, and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creation of new relations between the employed and the unemployed, the waged and the unwaged, and among the different sectors in each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these groups. The totality of this activity we termed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refusal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work.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 looking, in particular, at the struggles of state workers,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welfare recipients, auto workers, postal workers, coal miners,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students, and housewives, we sought to show how the content,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direction, and interaction of these insurgencies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posed not simply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another cyclical dysfunction of the system, but a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historical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crisis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capital itself.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 this second issue we continue to develop this analysis with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special emphasis on the 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international character of both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cycle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 and capital's response to it, its counteroffensive. Our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implicit aim throughout the articles is to determine 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composition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international working class in the context of 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circulation of struggle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from sector to sector, and from place to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place around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world. This is not simply a question of labor and capital mobility or internationalization as such but the simultaneous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political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>recom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>position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of the global working class and the restructuring of world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capital in the crisis—by which we mean the new ways in which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workers everywhere are imposing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their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needs on capital and the ways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 which capital is creating new forms of accumulation in which those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needs are either incorporated or smashed.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>Few would quest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ion that the crisis has been developing on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world scale and that capital has been using this critical phase to try to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impose a new international "order." But invariably this is depicted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as a question of confrontations and deals among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countries,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or groups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countries—whether industrially "advanced," "developing," "underdeveloped," or "socialist"—concerning terms of trade,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international credit, foreign aid, etc. This has been the starting point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all theories of imperialism, whether liberal, radical, or "Marxist";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there is thus a tendency to claim that the real class struggle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today is the essentially diplomatic effort of the progressive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governments of the Third World (and now the Fourth W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orld,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etc.) to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bring about a New International Economic Order in which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injustices of the global market would be rectified through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development. And the issue of imperialism becomes, on the one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hand, endless, esoteric discussion of modes of production a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nd forms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dependency, and on the other, lamentations for the death (or 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least the limits) of class struggle in the "advanced" countries. For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development in those countries is understood as a matter of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collaboration, while the real victims of exploitation—now equated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with underdevelopment—are said to be the national economies of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Third World. The final step is to declare the workers of the Third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World to be partners with the state in the quest for nat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ional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self-sufficiency—ironically putting them in the same position as their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counterparts in the West supposedly ended up in: cooperating with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capital for the sake of development, except that in one case that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development is called capitalist accumulation o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n a world scale, and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other, socialist accumulation. And it is thus no surprise that there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is widespread </w:t>
      </w:r>
      <w:r w:rsidR="00010AF0" w:rsidRPr="00B84796">
        <w:rPr>
          <w:rFonts w:ascii="Times New Roman" w:hAnsi="Times New Roman" w:cs="Times New Roman"/>
          <w:color w:val="000000"/>
          <w:sz w:val="20"/>
          <w:szCs w:val="20"/>
        </w:rPr>
        <w:t>agreement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, from the liberal wing of Western capital to the most ardent Third Worldists, on the prescription for curing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underdevelopment: the pro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motion of labor-intensive production,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other words, putting people to work productively—just as, in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West, the solution posed for the crisis of capital is full employment.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>It is indeed difficult to break through this perspective, through the ideologie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 of national liberation, economic nationalism,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socialist reconstruction—but it must be done, and this second issue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is a contribution to that effort. In putting forth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 as the pivot of the international dynamics of capital, we find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ourselves fundamentally at odds with the theories-of-imperialism tradition, beginning with the question of the origins of imperialist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expansion. Not only do we reject the notion that i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ts basis was some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sort of class accom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odation in the West, we maintain that the growth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foreign investment, especially by the U.S. in the past 30 years, was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precisely a response to 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intensification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domestic class struggle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before and after World War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II, especially in sectors such as coal,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rubber, and transportation. The coupling of U.S. postwar reconver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sion with the stabilization and penetration of Western Europe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ex-colonial Asia and Africa was the technique by which capital sought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to undercut wo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rkers' power everywhere through the creation of 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international hierarchy of wages, on the basis of which the most powerful sectors of the class could be held in check by capital's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mobility, and 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conditions of entry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new peasant groups into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multinational factory could be better controlled.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limitations of the cycle of growth founded on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strategy—Western Europe and Japan were the main beneficiaries—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led to a new Devel</w:t>
      </w:r>
      <w:r w:rsidR="00010AF0">
        <w:rPr>
          <w:rFonts w:ascii="Times New Roman" w:hAnsi="Times New Roman" w:cs="Times New Roman"/>
          <w:color w:val="000000"/>
          <w:sz w:val="20"/>
          <w:szCs w:val="20"/>
        </w:rPr>
        <w:t>opment Decade in the 1960's bas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ed on investment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in productivity-raisin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 technologies and "human capital." Yet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strategy too was violently checked by an upsurge of struggle in which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guerrilla movements across the world—but especially in Southeast Asia—along with insurgency among the unwaged (women, blacks,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students, etc.)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in the West posed a massive refusal of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development being offered. By the 1970's, this situation had created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a profound international crisis for capital, forcing it to seek new forms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of repression and restructuring of the global system—a new structure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Pr="00B84796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development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and underdevelopment in which the Third World 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such would begin to disappear.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>As the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international circulation of working class struggle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as capital in response became more and more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planned, integrated world system, underdevelopment increasingly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came to be no longer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identified with certain geographical areas. Not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only was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underdevelopment not an original state, a condition to be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overcome through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"modernization"—it was no longer sim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ply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function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of the interaction of national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economies, of a metropole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peripheries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As the focus of the class struggle everywhere began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away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from national development—whether capitalist or socialist 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>—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to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refusal of work and the demand for social wealth, the 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>generati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on of development and underdevelopment became a set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of</w:t>
      </w:r>
      <w:r w:rsidR="00B84796"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strategies,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weapons used by capital to fragment growing proletarian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power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creating a new geography of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labor-power and forms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exploitation.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place of a clear division between a developed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West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 underdeveloped Third World, there emerged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complicated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pattern of situations, such that we now find rapid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accumulation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Middle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East, uneven growth in Brazil, famine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Sahel,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the rapid flight of investment from Italy, Britain,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New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York City, resulting in 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"underdevelopment"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>metropolis.</w:t>
      </w:r>
    </w:p>
    <w:p w:rsidR="00B84796" w:rsidRPr="00B84796" w:rsidRDefault="00B84796" w:rsidP="00B84796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A774B5" w:rsidRPr="00B84796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meet the growing challenge posed by the internationalization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class struggle, capital has been forced more and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more to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internationalize its circuits as well as its means of control (particularly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state), making it clear that the real "anarchy" of capital lies not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confrontation of "rich" and "poor" nations, nor in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contradictions of international competition, but in the confrontation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classes on a world scale. Ultimately, the only unplannable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anarchic element of capitalist society is working class struggle, and it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the attempt by capital to stem the internati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onal growth of that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 that has made interimperialist rivalry of secondary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importance. Consequently, we now find, for example, the U.S. selling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grain to the Soviet Union to help the Kremlin cope with the struggles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Russian agricultural workers; Libya investing in Fiat in the midst of an upsurge of Italian workers; Western banks putting credit pressure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on Eastern Europe after another successful struggle over food prices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in Poland; China forging improved relations with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the governments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Malaysia and the Philippines while insurgent movements continue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those countries; and North Vietnam shipping coal to England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during a strike by British miners. What all this points to are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increasing concentration and coordination of m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ultinational state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power in the West and growing cooperation between capitalist and socialist states—all aimed at resisting a generalized working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 for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the appropriation of wealth internationally produced.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"Imperialism" can now only be underst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ood as essentially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dynamics of the confrontation between the strategy of capital and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struggle of labor on a world scale.</w:t>
      </w:r>
    </w:p>
    <w:p w:rsidR="00B84796" w:rsidRPr="00B84796" w:rsidRDefault="00B84796" w:rsidP="00B84796">
      <w:pPr>
        <w:ind w:firstLine="432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current phase of class relations in the international crisis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shows very clearly not only the extent of capital's counterattack—in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the forms of the manipulation of development and underdevelop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softHyphen/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ment, the supposed energy and food shortages, monetary coercion,</w:t>
      </w:r>
      <w:r w:rsid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etc.—but also its limitations. To be sure, there have been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serious working class defeats suffered in such places as Chile, Portugal,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Afghanistan, and Bangladesh; and it is crucial to understand how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took place. Yet it is also quite clear that in many places capital has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faced considerable difficulty in imposin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 austerity. In Argentina,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military coup has not produced a Chilean situation but an endemic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civil war. In Italy, the sacrifices being promoted by the Communists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have prompted a confrontation bordering on open warfare. In Poland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Egypt, attempts to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increase food prices were defeated by massive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riots. In Canada, behind the constitutional crisis set off by the recent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electoral victory of the Quebec </w:t>
      </w:r>
      <w:r w:rsidR="00010AF0" w:rsidRPr="00B84796">
        <w:rPr>
          <w:rFonts w:ascii="Times New Roman" w:hAnsi="Times New Roman" w:cs="Times New Roman"/>
          <w:color w:val="000000"/>
          <w:sz w:val="20"/>
          <w:szCs w:val="20"/>
        </w:rPr>
        <w:t>separatists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is a crisis of the national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economy resulting from uncontrollable working class demands.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Me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xico, rural workers responded to the government's anti-inflation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program with widespread land seizures. As far as the U.S. 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concerned, despite the talk of a trend towards reinvestment here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because of relative stability compared to much of the rest of the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world, the "state of the union" is best summarized by the words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recent report of the Task Force on Disorders and Terrorism: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present tranquility is deceptive. It is urged that it not be taken as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sign that disorder in the United States is a thing of the past. Many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traditional indicators for disorders are clearly present and need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but little stimulus to activate them." (For more on the report, see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New York Times,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3 March 1977.)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>It is in this c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ontext and from this perspective that the articles in this second issue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ZEROWORK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seek to analyze the international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crisis and thus help to create a framework for understanding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emerging international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working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class strategy.</w:t>
      </w:r>
    </w:p>
    <w:p w:rsid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10AF0" w:rsidRPr="00B84796" w:rsidRDefault="00010AF0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issue begins with a long piece by Harry Cleaver, "Food,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Famine, and the International Crisis," which examines the phases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postwar class struggle concerning food and agriculture. Cleaver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shows how the various forms of rural insurgencies, along with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st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ruggles by urban workers over the availability and price of food, have challenged the successive development/underdevelopment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strategies posed by capital in its quest for expansion and global integration of production. From the postwar emphasis on industry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the exploitation of agriculture, to the demise of the Green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Revolution and the Development Decade, to the creation of food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shortage and famine, Cleaver analyzes the circulation of struggle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between workers in agriculture and industry in single countrie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between native workers and immigrant workers in regions,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among workers in the First, Second, and Third Worlds—all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culminating in a discussion of the present international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confrontation over the basic means of existence.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Philip Mattera's article, "Vietnam: Socialism and the Struggle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Against Work," continues a number of themes from the Cleaver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piece by focusing on the class struggle history of a country that has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played a central role in the postwar period. Mattera reinterpr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ets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course of revolutionary activity against France, Japan, and the U.S. to show that that activity was not simply aimed at the abolition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colonial and neocolonial rule, but was also a refusal on the part of</w:t>
      </w:r>
      <w:r w:rsidR="00B847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Vietnamese workers to participate in the multinational factory.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establishment of socialism in the north after 1946 and in the south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1975 turned out to be not the triumph of this struggle, but rather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change in its terms as the plans of the state fo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 Soviet-style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industrialization came into conflict with continuing working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resistance to the accumulation of capital in all its forms.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Consequently, in his discussion of present-day Vietnam, Mattera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goes beyond the current debate among leftists conc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erning human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rights and U.S. obligations to provide reconstruction aid to discern a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growing conflict between the demands of the people for greater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access to social wealth and the state's efforts to integrate Vietnam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into the world economy—a situation that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illustrates the crisis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"Third World socialism" and raises the question of the alternatives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to it.</w:t>
      </w:r>
    </w:p>
    <w:p w:rsidR="00B84796" w:rsidRPr="00B84796" w:rsidRDefault="00B84796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article by Christian Marazzi, "Money In the World Crisis,"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analyzes how the postwar cycle of struggles has generated 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ever-worsening crisis of the international monetary system in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context of the more general crisis of capital. Making the link between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unrest in social production and reproduction, and monetary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instability, Marazzi argues that the situation following the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1971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inconvertibility move by the U.S. has been one in which a new phase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planned development, a further socialization of capital, 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impossible; and as a result, the current international class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confrontation, reflected in monetary dynamics, is one of "permanent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emergency" in which monetary terrorism is being used to undermine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wage struggle and to thwart a generalized class challenge to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rule of capital. Capital is seeking to maintain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stand-off through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increasing centralization of multinational state power and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simultaneous regionalization of the implementation of austerity, as is seen clearly in the growing power of the International Monetary Fund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and the emergence of social dem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ocracy as the executor of cuts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social expenditures.</w:t>
      </w:r>
    </w:p>
    <w:p w:rsidR="00010AF0" w:rsidRPr="00B84796" w:rsidRDefault="00010AF0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010AF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>Donna Demac and Philip Mattera's "Developing and Under-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developing New York" looks at these monetary dynamics in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context of the paradigmatic struggles within the city that has been 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center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''fiscal crisis." Beginning with an account of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struggles of welfare recipients, public sector workers, private sector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workers, etc., and showing how the unique interaction of these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struggles in the 1960's and early 1970's undermined the social order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in the city, Demac and Mattera go on to describe the forms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capital's counterattack in New York. Using reductions in state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federal aid to the city as well as the creation of a debt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crisis, business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government have made massive cuts in the budget, laid off tens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of thousands of city workers, and ended even the semblance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democratic rule—all in the attempt to bring the working people of the city back under control and thus permit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New York to play its role for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world capital more effectively.</w:t>
      </w:r>
    </w:p>
    <w:p w:rsidR="00010AF0" w:rsidRPr="00B84796" w:rsidRDefault="00010AF0" w:rsidP="00010AF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article on New York not only concludes this issue, it serves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as the starting point for one of the main aspects of the future research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analysis of those of us involved with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Som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e of us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are working with a group in New York in order to extend our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examination of the current crisis by looking at the ways in which the</w:t>
      </w:r>
      <w:r w:rsidR="00010A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implementation of austerity and the intensification of work in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social factory have affected the life and struggles of people in New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York. Taking the city as a paradigm, we are especially interested in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he new forms of the segmentation of the working class and how these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are reflected in the various alternatives to stead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y waged work that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people have chosen or have been forced to adopt, including living on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unemployment insurance or welfare, part time and occasional jobs,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hustling, and crime. Our aim in this is not to engage in urban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sociology or labor market research, but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to determine how different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sectors of the class are coping with austerity and how they are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organizing to fight it.</w:t>
      </w:r>
    </w:p>
    <w:p w:rsidR="00010AF0" w:rsidRPr="00B84796" w:rsidRDefault="00010AF0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Default="00982514" w:rsidP="00010AF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Others of us are continuing the examination of capital's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counteroffensive on the three vital fronts of food, energy, and money.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We will study closely the emerging working class strategies for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resisting these </w:t>
      </w:r>
      <w:r w:rsidR="00010AF0" w:rsidRPr="00B84796">
        <w:rPr>
          <w:rFonts w:ascii="Times New Roman" w:hAnsi="Times New Roman" w:cs="Times New Roman"/>
          <w:color w:val="000000"/>
          <w:sz w:val="20"/>
          <w:szCs w:val="20"/>
        </w:rPr>
        <w:t>assaults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and in doing so we hope to clarify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mechanisms of both world capitalist planning and the international </w:t>
      </w:r>
      <w:r w:rsidR="00010AF0" w:rsidRPr="00B84796">
        <w:rPr>
          <w:rFonts w:ascii="Times New Roman" w:hAnsi="Times New Roman" w:cs="Times New Roman"/>
          <w:color w:val="000000"/>
          <w:sz w:val="20"/>
          <w:szCs w:val="20"/>
        </w:rPr>
        <w:t>circulation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of working class struggle. Finally, we want to ex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tend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analysis of the crisis of socialism begun in Cleaver's (Eastern Europe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the Soviet Union) and Mattera's (Vietnam) articles in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issue—particularly the case of China.</w:t>
      </w:r>
    </w:p>
    <w:p w:rsidR="00010AF0" w:rsidRPr="00B84796" w:rsidRDefault="00010AF0" w:rsidP="00010AF0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774B5" w:rsidRPr="00B84796" w:rsidRDefault="00982514" w:rsidP="00010AF0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Still others of us are engaged in ongoing research in working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class history. In all, we are a network of militants with centers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currently in New York City, Rochester, Texas, and Montreal and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associated collectives in Britain and Italy. We have no pretensions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forming any sort of party; rather, we are seeking to make a major, new contribution to the international debate on the crisis and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working class response. The first issue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began with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the statement: "The present capitalist crisis has made the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 problem of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working class revolutionary organization more urgent." That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problem, of course, remains urgent and remains the basic concern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WORK.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we intend to address this problem more explicitly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in our future issues as we work to develop and circ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ulate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organizational strategies that do not contradict the autonomy of the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working class. This is obviously not the project of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alone,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but what we hope is that </w:t>
      </w:r>
      <w:r w:rsidRPr="00B84796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ZERO WORK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can become a forum in which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the fundamental questions of the struggle can be discussed in a new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 xml:space="preserve">and totally undogmatic manner. We invite you to join us in this </w:t>
      </w:r>
      <w:r w:rsidRPr="00B84796">
        <w:rPr>
          <w:rFonts w:ascii="Times New Roman" w:hAnsi="Times New Roman" w:cs="Times New Roman"/>
          <w:color w:val="000000"/>
          <w:sz w:val="20"/>
          <w:szCs w:val="20"/>
        </w:rPr>
        <w:t>endeavor.</w:t>
      </w:r>
    </w:p>
    <w:p w:rsidR="00A774B5" w:rsidRPr="00B84796" w:rsidRDefault="00A774B5" w:rsidP="00B8479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A774B5" w:rsidRPr="00B84796" w:rsidSect="00B84796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05E5"/>
    <w:multiLevelType w:val="multilevel"/>
    <w:tmpl w:val="22740FF4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b/>
        <w:strike w:val="0"/>
        <w:color w:val="000000"/>
        <w:spacing w:val="3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74B5"/>
    <w:rsid w:val="00010AF0"/>
    <w:rsid w:val="00982514"/>
    <w:rsid w:val="00A774B5"/>
    <w:rsid w:val="00B8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 Cleaver</cp:lastModifiedBy>
  <cp:revision>2</cp:revision>
  <dcterms:created xsi:type="dcterms:W3CDTF">2012-01-16T23:37:00Z</dcterms:created>
  <dcterms:modified xsi:type="dcterms:W3CDTF">2012-01-16T23:37:00Z</dcterms:modified>
</cp:coreProperties>
</file>